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hint="eastAsia"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项目支出绩效自评表</w:t>
      </w:r>
    </w:p>
    <w:p>
      <w:pPr>
        <w:spacing w:line="480" w:lineRule="exact"/>
        <w:rPr>
          <w:rFonts w:ascii="仿宋_GB2312" w:hAnsi="宋体" w:eastAsia="仿宋_GB2312"/>
          <w:sz w:val="28"/>
          <w:szCs w:val="28"/>
          <w:highlight w:val="none"/>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highlight w:val="none"/>
        </w:rPr>
        <w:t xml:space="preserve">  （</w:t>
      </w:r>
      <w:r>
        <w:rPr>
          <w:rFonts w:ascii="仿宋_GB2312" w:hAnsi="宋体" w:eastAsia="仿宋_GB2312"/>
          <w:color w:val="000000" w:themeColor="text1"/>
          <w:sz w:val="28"/>
          <w:szCs w:val="28"/>
          <w:highlight w:val="none"/>
          <w14:textFill>
            <w14:solidFill>
              <w14:schemeClr w14:val="tx1"/>
            </w14:solidFill>
          </w14:textFill>
        </w:rPr>
        <w:t>202</w:t>
      </w:r>
      <w:r>
        <w:rPr>
          <w:rFonts w:hint="eastAsia" w:ascii="仿宋_GB2312" w:hAnsi="宋体" w:eastAsia="仿宋_GB2312"/>
          <w:color w:val="000000" w:themeColor="text1"/>
          <w:sz w:val="28"/>
          <w:szCs w:val="28"/>
          <w:highlight w:val="none"/>
          <w:lang w:val="en-US" w:eastAsia="zh-CN"/>
          <w14:textFill>
            <w14:solidFill>
              <w14:schemeClr w14:val="tx1"/>
            </w14:solidFill>
          </w14:textFill>
        </w:rPr>
        <w:t>3</w:t>
      </w:r>
      <w:r>
        <w:rPr>
          <w:rFonts w:hint="eastAsia" w:ascii="仿宋_GB2312" w:hAnsi="宋体" w:eastAsia="仿宋_GB2312"/>
          <w:sz w:val="28"/>
          <w:szCs w:val="28"/>
          <w:highlight w:val="none"/>
        </w:rPr>
        <w:t>年度）</w:t>
      </w:r>
    </w:p>
    <w:p>
      <w:pPr>
        <w:spacing w:line="240" w:lineRule="exact"/>
        <w:rPr>
          <w:rFonts w:ascii="仿宋_GB2312" w:hAnsi="宋体" w:eastAsia="仿宋_GB2312"/>
          <w:sz w:val="30"/>
          <w:szCs w:val="30"/>
          <w:highlight w:val="none"/>
        </w:rPr>
      </w:pPr>
    </w:p>
    <w:tbl>
      <w:tblPr>
        <w:tblStyle w:val="5"/>
        <w:tblW w:w="9038" w:type="dxa"/>
        <w:jc w:val="center"/>
        <w:tblLayout w:type="fixed"/>
        <w:tblCellMar>
          <w:top w:w="0" w:type="dxa"/>
          <w:left w:w="108" w:type="dxa"/>
          <w:bottom w:w="0" w:type="dxa"/>
          <w:right w:w="108" w:type="dxa"/>
        </w:tblCellMar>
      </w:tblPr>
      <w:tblGrid>
        <w:gridCol w:w="585"/>
        <w:gridCol w:w="975"/>
        <w:gridCol w:w="1090"/>
        <w:gridCol w:w="742"/>
        <w:gridCol w:w="1127"/>
        <w:gridCol w:w="283"/>
        <w:gridCol w:w="902"/>
        <w:gridCol w:w="795"/>
        <w:gridCol w:w="279"/>
        <w:gridCol w:w="284"/>
        <w:gridCol w:w="420"/>
        <w:gridCol w:w="232"/>
        <w:gridCol w:w="614"/>
        <w:gridCol w:w="710"/>
      </w:tblGrid>
      <w:tr>
        <w:tblPrEx>
          <w:tblCellMar>
            <w:top w:w="0" w:type="dxa"/>
            <w:left w:w="108" w:type="dxa"/>
            <w:bottom w:w="0" w:type="dxa"/>
            <w:right w:w="108" w:type="dxa"/>
          </w:tblCellMar>
        </w:tblPrEx>
        <w:trPr>
          <w:trHeight w:val="422"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项目名称</w:t>
            </w:r>
          </w:p>
        </w:tc>
        <w:tc>
          <w:tcPr>
            <w:tcW w:w="7478"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Cs w:val="21"/>
                <w:highlight w:val="none"/>
                <w14:textFill>
                  <w14:solidFill>
                    <w14:schemeClr w14:val="tx1"/>
                  </w14:solidFill>
                </w14:textFill>
              </w:rPr>
            </w:pPr>
            <w:r>
              <w:rPr>
                <w:rFonts w:hint="eastAsia" w:ascii="仿宋_GB2312" w:hAnsi="宋体" w:eastAsia="仿宋_GB2312" w:cs="宋体"/>
                <w:color w:val="000000" w:themeColor="text1"/>
                <w:kern w:val="0"/>
                <w:szCs w:val="21"/>
                <w:highlight w:val="none"/>
                <w14:textFill>
                  <w14:solidFill>
                    <w14:schemeClr w14:val="tx1"/>
                  </w14:solidFill>
                </w14:textFill>
              </w:rPr>
              <w:t>专业咨询类项目</w:t>
            </w:r>
          </w:p>
        </w:tc>
      </w:tr>
      <w:tr>
        <w:tblPrEx>
          <w:tblCellMar>
            <w:top w:w="0" w:type="dxa"/>
            <w:left w:w="108" w:type="dxa"/>
            <w:bottom w:w="0" w:type="dxa"/>
            <w:right w:w="108" w:type="dxa"/>
          </w:tblCellMar>
        </w:tblPrEx>
        <w:trPr>
          <w:trHeight w:val="630"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主管部门</w:t>
            </w:r>
          </w:p>
        </w:tc>
        <w:tc>
          <w:tcPr>
            <w:tcW w:w="4144"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eastAsia="zh-CN"/>
              </w:rPr>
            </w:pPr>
            <w:r>
              <w:rPr>
                <w:rFonts w:hint="eastAsia" w:ascii="仿宋_GB2312" w:hAnsi="宋体" w:eastAsia="仿宋_GB2312" w:cs="宋体"/>
                <w:color w:val="000000" w:themeColor="text1"/>
                <w:kern w:val="0"/>
                <w:szCs w:val="21"/>
                <w:highlight w:val="none"/>
                <w:lang w:val="en-US" w:eastAsia="zh-CN"/>
                <w14:textFill>
                  <w14:solidFill>
                    <w14:schemeClr w14:val="tx1"/>
                  </w14:solidFill>
                </w14:textFill>
              </w:rPr>
              <w:t>北京市地震局</w:t>
            </w:r>
          </w:p>
        </w:tc>
        <w:tc>
          <w:tcPr>
            <w:tcW w:w="107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实施单位</w:t>
            </w:r>
          </w:p>
        </w:tc>
        <w:tc>
          <w:tcPr>
            <w:tcW w:w="22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eastAsia="zh-CN"/>
              </w:rPr>
            </w:pPr>
            <w:r>
              <w:rPr>
                <w:rFonts w:hint="eastAsia" w:ascii="仿宋_GB2312" w:hAnsi="宋体" w:eastAsia="仿宋_GB2312" w:cs="宋体"/>
                <w:color w:val="000000" w:themeColor="text1"/>
                <w:kern w:val="0"/>
                <w:szCs w:val="21"/>
                <w:highlight w:val="none"/>
                <w:lang w:val="en-US" w:eastAsia="zh-CN"/>
                <w14:textFill>
                  <w14:solidFill>
                    <w14:schemeClr w14:val="tx1"/>
                  </w14:solidFill>
                </w14:textFill>
              </w:rPr>
              <w:t>北京市地震局</w:t>
            </w:r>
          </w:p>
        </w:tc>
      </w:tr>
      <w:tr>
        <w:tblPrEx>
          <w:tblCellMar>
            <w:top w:w="0" w:type="dxa"/>
            <w:left w:w="108" w:type="dxa"/>
            <w:bottom w:w="0" w:type="dxa"/>
            <w:right w:w="108" w:type="dxa"/>
          </w:tblCellMar>
        </w:tblPrEx>
        <w:trPr>
          <w:trHeight w:val="709"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项目负责人</w:t>
            </w:r>
          </w:p>
        </w:tc>
        <w:tc>
          <w:tcPr>
            <w:tcW w:w="4144"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color w:val="000000" w:themeColor="text1"/>
                <w:kern w:val="0"/>
                <w:szCs w:val="21"/>
                <w:highlight w:val="none"/>
                <w14:textFill>
                  <w14:solidFill>
                    <w14:schemeClr w14:val="tx1"/>
                  </w14:solidFill>
                </w14:textFill>
              </w:rPr>
              <w:t>王薇</w:t>
            </w:r>
          </w:p>
        </w:tc>
        <w:tc>
          <w:tcPr>
            <w:tcW w:w="107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联系电话</w:t>
            </w:r>
          </w:p>
        </w:tc>
        <w:tc>
          <w:tcPr>
            <w:tcW w:w="22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default" w:ascii="仿宋_GB2312" w:hAnsi="宋体" w:eastAsia="仿宋_GB2312" w:cs="宋体"/>
                <w:kern w:val="0"/>
                <w:szCs w:val="21"/>
                <w:highlight w:val="none"/>
                <w:lang w:val="en-US" w:eastAsia="zh-CN"/>
              </w:rPr>
              <w:t>83012135</w:t>
            </w:r>
          </w:p>
        </w:tc>
      </w:tr>
      <w:tr>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项目资金</w:t>
            </w:r>
            <w:r>
              <w:rPr>
                <w:rFonts w:hint="eastAsia" w:ascii="仿宋_GB2312" w:hAnsi="宋体" w:eastAsia="仿宋_GB2312" w:cs="宋体"/>
                <w:kern w:val="0"/>
                <w:szCs w:val="21"/>
                <w:highlight w:val="none"/>
              </w:rPr>
              <w:br w:type="textWrapping"/>
            </w:r>
            <w:r>
              <w:rPr>
                <w:rFonts w:hint="eastAsia" w:ascii="仿宋_GB2312" w:hAnsi="宋体" w:eastAsia="仿宋_GB2312" w:cs="宋体"/>
                <w:kern w:val="0"/>
                <w:szCs w:val="21"/>
                <w:highlight w:val="none"/>
              </w:rPr>
              <w:t>（万元）</w:t>
            </w: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年初预</w:t>
            </w:r>
          </w:p>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算数</w:t>
            </w:r>
          </w:p>
        </w:tc>
        <w:tc>
          <w:tcPr>
            <w:tcW w:w="1185"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全年预</w:t>
            </w:r>
          </w:p>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算数</w:t>
            </w:r>
          </w:p>
        </w:tc>
        <w:tc>
          <w:tcPr>
            <w:tcW w:w="107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全年</w:t>
            </w:r>
          </w:p>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执行数</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分值</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执行率</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得分</w:t>
            </w:r>
          </w:p>
        </w:tc>
      </w:tr>
      <w:tr>
        <w:tblPrEx>
          <w:tblCellMar>
            <w:top w:w="0" w:type="dxa"/>
            <w:left w:w="108" w:type="dxa"/>
            <w:bottom w:w="0" w:type="dxa"/>
            <w:right w:w="108" w:type="dxa"/>
          </w:tblCellMar>
        </w:tblPrEx>
        <w:trPr>
          <w:trHeight w:val="1279"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年度资金总额</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color w:val="000000" w:themeColor="text1"/>
                <w:kern w:val="0"/>
                <w:szCs w:val="21"/>
                <w:highlight w:val="none"/>
                <w:lang w:val="en-US" w:eastAsia="zh-CN"/>
                <w14:textFill>
                  <w14:solidFill>
                    <w14:schemeClr w14:val="tx1"/>
                  </w14:solidFill>
                </w14:textFill>
              </w:rPr>
              <w:t>44.10</w:t>
            </w:r>
          </w:p>
        </w:tc>
        <w:tc>
          <w:tcPr>
            <w:tcW w:w="1185"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38.90</w:t>
            </w:r>
          </w:p>
        </w:tc>
        <w:tc>
          <w:tcPr>
            <w:tcW w:w="107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38.90</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10</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100%</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10</w:t>
            </w:r>
          </w:p>
        </w:tc>
      </w:tr>
      <w:tr>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其中：当年财政</w:t>
            </w:r>
          </w:p>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拨款</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44.10</w:t>
            </w:r>
          </w:p>
        </w:tc>
        <w:tc>
          <w:tcPr>
            <w:tcW w:w="1185"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lang w:val="en-US" w:eastAsia="zh-CN"/>
              </w:rPr>
              <w:t>38.90</w:t>
            </w:r>
          </w:p>
        </w:tc>
        <w:tc>
          <w:tcPr>
            <w:tcW w:w="107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38.90</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lang w:val="en-US" w:eastAsia="zh-CN"/>
              </w:rPr>
              <w:t>100%</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w:t>
            </w:r>
          </w:p>
        </w:tc>
      </w:tr>
      <w:tr>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 xml:space="preserve">      上年结转资金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185"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07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 xml:space="preserve">  其他资金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185"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07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w:t>
            </w:r>
          </w:p>
        </w:tc>
      </w:tr>
      <w:tr>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年度总体目标</w:t>
            </w:r>
          </w:p>
        </w:tc>
        <w:tc>
          <w:tcPr>
            <w:tcW w:w="5119"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预期目标</w:t>
            </w:r>
          </w:p>
        </w:tc>
        <w:tc>
          <w:tcPr>
            <w:tcW w:w="3334"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实际完成情况</w:t>
            </w:r>
          </w:p>
        </w:tc>
      </w:tr>
      <w:tr>
        <w:tblPrEx>
          <w:tblCellMar>
            <w:top w:w="0" w:type="dxa"/>
            <w:left w:w="108" w:type="dxa"/>
            <w:bottom w:w="0" w:type="dxa"/>
            <w:right w:w="108" w:type="dxa"/>
          </w:tblCellMar>
        </w:tblPrEx>
        <w:trPr>
          <w:trHeight w:val="1597"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5119"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rPr>
            </w:pPr>
            <w:r>
              <w:rPr>
                <w:rFonts w:hint="eastAsia" w:ascii="仿宋_GB2312" w:hAnsi="宋体" w:eastAsia="仿宋_GB2312" w:cs="宋体"/>
                <w:kern w:val="0"/>
                <w:szCs w:val="21"/>
                <w:highlight w:val="none"/>
              </w:rPr>
              <w:t>根据财政要求，开展绩效目标管理、项目预算评审、绩效跟踪、项目绩效自评及相关预算绩效管理研究等方面的工作，以进一步加强部门预算绩效管理，提升财政资金使用效益。</w:t>
            </w:r>
          </w:p>
        </w:tc>
        <w:tc>
          <w:tcPr>
            <w:tcW w:w="3334"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根据财政要求，开展绩效目标管理、项目预算评审、绩效跟踪、项目绩效</w:t>
            </w:r>
            <w:r>
              <w:rPr>
                <w:rFonts w:hint="eastAsia" w:ascii="仿宋_GB2312" w:hAnsi="宋体" w:eastAsia="仿宋_GB2312" w:cs="宋体"/>
                <w:kern w:val="0"/>
                <w:szCs w:val="21"/>
                <w:highlight w:val="none"/>
                <w:lang w:val="en-US" w:eastAsia="zh-CN"/>
              </w:rPr>
              <w:t>评价</w:t>
            </w:r>
            <w:r>
              <w:rPr>
                <w:rFonts w:hint="eastAsia" w:ascii="仿宋_GB2312" w:hAnsi="宋体" w:eastAsia="仿宋_GB2312" w:cs="宋体"/>
                <w:kern w:val="0"/>
                <w:szCs w:val="21"/>
                <w:highlight w:val="none"/>
              </w:rPr>
              <w:t>及相关预算绩效管理研究等方面的工作，进一步加强部门预算绩效管理，提升财政资金使用效益。</w:t>
            </w:r>
          </w:p>
        </w:tc>
      </w:tr>
      <w:tr>
        <w:tblPrEx>
          <w:tblCellMar>
            <w:top w:w="0" w:type="dxa"/>
            <w:left w:w="108" w:type="dxa"/>
            <w:bottom w:w="0" w:type="dxa"/>
            <w:right w:w="108" w:type="dxa"/>
          </w:tblCellMar>
        </w:tblPrEx>
        <w:trPr>
          <w:trHeight w:val="1335"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绩</w:t>
            </w:r>
            <w:r>
              <w:rPr>
                <w:rFonts w:hint="eastAsia" w:ascii="仿宋_GB2312" w:hAnsi="宋体" w:eastAsia="仿宋_GB2312" w:cs="宋体"/>
                <w:kern w:val="0"/>
                <w:szCs w:val="21"/>
                <w:highlight w:val="none"/>
              </w:rPr>
              <w:br w:type="textWrapping"/>
            </w:r>
            <w:r>
              <w:rPr>
                <w:rFonts w:hint="eastAsia" w:ascii="仿宋_GB2312" w:hAnsi="宋体" w:eastAsia="仿宋_GB2312" w:cs="宋体"/>
                <w:kern w:val="0"/>
                <w:szCs w:val="21"/>
                <w:highlight w:val="none"/>
              </w:rPr>
              <w:t>效</w:t>
            </w:r>
            <w:r>
              <w:rPr>
                <w:rFonts w:hint="eastAsia" w:ascii="仿宋_GB2312" w:hAnsi="宋体" w:eastAsia="仿宋_GB2312" w:cs="宋体"/>
                <w:kern w:val="0"/>
                <w:szCs w:val="21"/>
                <w:highlight w:val="none"/>
              </w:rPr>
              <w:br w:type="textWrapping"/>
            </w:r>
            <w:r>
              <w:rPr>
                <w:rFonts w:hint="eastAsia" w:ascii="仿宋_GB2312" w:hAnsi="宋体" w:eastAsia="仿宋_GB2312" w:cs="宋体"/>
                <w:kern w:val="0"/>
                <w:szCs w:val="21"/>
                <w:highlight w:val="none"/>
              </w:rPr>
              <w:t>指</w:t>
            </w:r>
            <w:r>
              <w:rPr>
                <w:rFonts w:hint="eastAsia" w:ascii="仿宋_GB2312" w:hAnsi="宋体" w:eastAsia="仿宋_GB2312" w:cs="宋体"/>
                <w:kern w:val="0"/>
                <w:szCs w:val="21"/>
                <w:highlight w:val="none"/>
              </w:rPr>
              <w:br w:type="textWrapping"/>
            </w:r>
            <w:r>
              <w:rPr>
                <w:rFonts w:hint="eastAsia" w:ascii="仿宋_GB2312" w:hAnsi="宋体" w:eastAsia="仿宋_GB2312" w:cs="宋体"/>
                <w:kern w:val="0"/>
                <w:szCs w:val="21"/>
                <w:highlight w:val="none"/>
              </w:rPr>
              <w:t>标</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一级指标</w:t>
            </w:r>
          </w:p>
        </w:tc>
        <w:tc>
          <w:tcPr>
            <w:tcW w:w="109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二级指标</w:t>
            </w:r>
          </w:p>
        </w:tc>
        <w:tc>
          <w:tcPr>
            <w:tcW w:w="2152"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三级指标</w:t>
            </w:r>
          </w:p>
        </w:tc>
        <w:tc>
          <w:tcPr>
            <w:tcW w:w="90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年度</w:t>
            </w:r>
          </w:p>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指标值</w:t>
            </w:r>
          </w:p>
        </w:tc>
        <w:tc>
          <w:tcPr>
            <w:tcW w:w="79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实际</w:t>
            </w:r>
          </w:p>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完成值</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分值</w:t>
            </w:r>
          </w:p>
        </w:tc>
        <w:tc>
          <w:tcPr>
            <w:tcW w:w="65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得分</w:t>
            </w:r>
          </w:p>
        </w:tc>
        <w:tc>
          <w:tcPr>
            <w:tcW w:w="132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偏差原因分析及改进</w:t>
            </w:r>
          </w:p>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措施</w:t>
            </w: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产出指标（50分）</w:t>
            </w:r>
          </w:p>
        </w:tc>
        <w:tc>
          <w:tcPr>
            <w:tcW w:w="1090"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数量指标</w:t>
            </w:r>
          </w:p>
        </w:tc>
        <w:tc>
          <w:tcPr>
            <w:tcW w:w="215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完成绩效目标审核</w:t>
            </w:r>
          </w:p>
        </w:tc>
        <w:tc>
          <w:tcPr>
            <w:tcW w:w="90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rPr>
              <w:t>≥</w:t>
            </w:r>
            <w:r>
              <w:rPr>
                <w:rFonts w:hint="eastAsia" w:ascii="仿宋_GB2312" w:hAnsi="宋体" w:eastAsia="仿宋_GB2312" w:cs="宋体"/>
                <w:kern w:val="0"/>
                <w:szCs w:val="21"/>
                <w:highlight w:val="none"/>
                <w:lang w:val="en-US" w:eastAsia="zh-CN"/>
              </w:rPr>
              <w:t>10</w:t>
            </w:r>
          </w:p>
        </w:tc>
        <w:tc>
          <w:tcPr>
            <w:tcW w:w="79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15</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5</w:t>
            </w:r>
          </w:p>
        </w:tc>
        <w:tc>
          <w:tcPr>
            <w:tcW w:w="65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5</w:t>
            </w:r>
          </w:p>
        </w:tc>
        <w:tc>
          <w:tcPr>
            <w:tcW w:w="132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090"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215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绩效指标和标准体系</w:t>
            </w:r>
          </w:p>
        </w:tc>
        <w:tc>
          <w:tcPr>
            <w:tcW w:w="90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1</w:t>
            </w:r>
          </w:p>
        </w:tc>
        <w:tc>
          <w:tcPr>
            <w:tcW w:w="79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1</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5</w:t>
            </w:r>
          </w:p>
        </w:tc>
        <w:tc>
          <w:tcPr>
            <w:tcW w:w="65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5</w:t>
            </w:r>
          </w:p>
        </w:tc>
        <w:tc>
          <w:tcPr>
            <w:tcW w:w="132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090"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215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项目预算评审</w:t>
            </w:r>
          </w:p>
        </w:tc>
        <w:tc>
          <w:tcPr>
            <w:tcW w:w="90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w:t>
            </w:r>
            <w:r>
              <w:rPr>
                <w:rFonts w:hint="eastAsia" w:ascii="仿宋_GB2312" w:hAnsi="宋体" w:eastAsia="仿宋_GB2312" w:cs="宋体"/>
                <w:kern w:val="0"/>
                <w:szCs w:val="21"/>
                <w:highlight w:val="none"/>
                <w:lang w:val="en-US" w:eastAsia="zh-CN"/>
              </w:rPr>
              <w:t>10</w:t>
            </w:r>
          </w:p>
        </w:tc>
        <w:tc>
          <w:tcPr>
            <w:tcW w:w="79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15</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5</w:t>
            </w:r>
          </w:p>
        </w:tc>
        <w:tc>
          <w:tcPr>
            <w:tcW w:w="65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5</w:t>
            </w:r>
          </w:p>
        </w:tc>
        <w:tc>
          <w:tcPr>
            <w:tcW w:w="132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090"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215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成本绩效分析</w:t>
            </w:r>
          </w:p>
        </w:tc>
        <w:tc>
          <w:tcPr>
            <w:tcW w:w="90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1</w:t>
            </w:r>
          </w:p>
        </w:tc>
        <w:tc>
          <w:tcPr>
            <w:tcW w:w="79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1</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5</w:t>
            </w:r>
          </w:p>
        </w:tc>
        <w:tc>
          <w:tcPr>
            <w:tcW w:w="65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5</w:t>
            </w:r>
          </w:p>
        </w:tc>
        <w:tc>
          <w:tcPr>
            <w:tcW w:w="132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090"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215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风险评估</w:t>
            </w:r>
          </w:p>
        </w:tc>
        <w:tc>
          <w:tcPr>
            <w:tcW w:w="90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1</w:t>
            </w:r>
          </w:p>
        </w:tc>
        <w:tc>
          <w:tcPr>
            <w:tcW w:w="79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1</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5</w:t>
            </w:r>
          </w:p>
        </w:tc>
        <w:tc>
          <w:tcPr>
            <w:tcW w:w="65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5</w:t>
            </w:r>
          </w:p>
        </w:tc>
        <w:tc>
          <w:tcPr>
            <w:tcW w:w="132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284"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090"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215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内控评价</w:t>
            </w:r>
          </w:p>
        </w:tc>
        <w:tc>
          <w:tcPr>
            <w:tcW w:w="90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1</w:t>
            </w:r>
          </w:p>
        </w:tc>
        <w:tc>
          <w:tcPr>
            <w:tcW w:w="79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1</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5</w:t>
            </w:r>
          </w:p>
        </w:tc>
        <w:tc>
          <w:tcPr>
            <w:tcW w:w="65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5</w:t>
            </w:r>
          </w:p>
        </w:tc>
        <w:tc>
          <w:tcPr>
            <w:tcW w:w="132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1082"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09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质量指标</w:t>
            </w:r>
          </w:p>
        </w:tc>
        <w:tc>
          <w:tcPr>
            <w:tcW w:w="215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出具报告质量符合相关文件规定的质量要求</w:t>
            </w:r>
          </w:p>
        </w:tc>
        <w:tc>
          <w:tcPr>
            <w:tcW w:w="90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好</w:t>
            </w:r>
          </w:p>
        </w:tc>
        <w:tc>
          <w:tcPr>
            <w:tcW w:w="79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好</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5</w:t>
            </w:r>
          </w:p>
        </w:tc>
        <w:tc>
          <w:tcPr>
            <w:tcW w:w="65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4</w:t>
            </w:r>
          </w:p>
        </w:tc>
        <w:tc>
          <w:tcPr>
            <w:tcW w:w="132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p>
        </w:tc>
      </w:tr>
      <w:tr>
        <w:tblPrEx>
          <w:tblCellMar>
            <w:top w:w="0" w:type="dxa"/>
            <w:left w:w="108" w:type="dxa"/>
            <w:bottom w:w="0" w:type="dxa"/>
            <w:right w:w="108" w:type="dxa"/>
          </w:tblCellMar>
        </w:tblPrEx>
        <w:trPr>
          <w:trHeight w:val="1237"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09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时效指标</w:t>
            </w:r>
          </w:p>
        </w:tc>
        <w:tc>
          <w:tcPr>
            <w:tcW w:w="215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按照北京市财政局关于预算绩效管理相关工作的时间进度安排执行按照时间进度安排执行</w:t>
            </w:r>
          </w:p>
        </w:tc>
        <w:tc>
          <w:tcPr>
            <w:tcW w:w="90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符合</w:t>
            </w:r>
          </w:p>
        </w:tc>
        <w:tc>
          <w:tcPr>
            <w:tcW w:w="79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符合</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5</w:t>
            </w:r>
          </w:p>
        </w:tc>
        <w:tc>
          <w:tcPr>
            <w:tcW w:w="65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4</w:t>
            </w:r>
          </w:p>
        </w:tc>
        <w:tc>
          <w:tcPr>
            <w:tcW w:w="132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650"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09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成本指标</w:t>
            </w:r>
          </w:p>
        </w:tc>
        <w:tc>
          <w:tcPr>
            <w:tcW w:w="215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项目预算控制数</w:t>
            </w:r>
          </w:p>
        </w:tc>
        <w:tc>
          <w:tcPr>
            <w:tcW w:w="90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rPr>
              <w:t>≤</w:t>
            </w:r>
            <w:r>
              <w:rPr>
                <w:rFonts w:hint="eastAsia" w:ascii="仿宋_GB2312" w:hAnsi="宋体" w:eastAsia="仿宋_GB2312" w:cs="宋体"/>
                <w:kern w:val="0"/>
                <w:szCs w:val="21"/>
                <w:highlight w:val="none"/>
                <w:lang w:val="en-US" w:eastAsia="zh-CN"/>
              </w:rPr>
              <w:t>38.90</w:t>
            </w:r>
          </w:p>
        </w:tc>
        <w:tc>
          <w:tcPr>
            <w:tcW w:w="79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38.9</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10</w:t>
            </w:r>
          </w:p>
        </w:tc>
        <w:tc>
          <w:tcPr>
            <w:tcW w:w="65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10</w:t>
            </w:r>
          </w:p>
        </w:tc>
        <w:tc>
          <w:tcPr>
            <w:tcW w:w="132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520"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效益指标（30分）</w:t>
            </w:r>
          </w:p>
        </w:tc>
        <w:tc>
          <w:tcPr>
            <w:tcW w:w="109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社会效益</w:t>
            </w:r>
          </w:p>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指标</w:t>
            </w:r>
          </w:p>
        </w:tc>
        <w:tc>
          <w:tcPr>
            <w:tcW w:w="215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单位预算绩效管理水平效果显著</w:t>
            </w:r>
          </w:p>
        </w:tc>
        <w:tc>
          <w:tcPr>
            <w:tcW w:w="90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lang w:val="en-US" w:eastAsia="zh-CN"/>
              </w:rPr>
              <w:t>提升</w:t>
            </w:r>
          </w:p>
        </w:tc>
        <w:tc>
          <w:tcPr>
            <w:tcW w:w="79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提升</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lang w:val="en-US" w:eastAsia="zh-CN"/>
              </w:rPr>
              <w:t>15</w:t>
            </w:r>
          </w:p>
        </w:tc>
        <w:tc>
          <w:tcPr>
            <w:tcW w:w="65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13</w:t>
            </w:r>
          </w:p>
        </w:tc>
        <w:tc>
          <w:tcPr>
            <w:tcW w:w="132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532"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09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215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提升地震局内部控制体系</w:t>
            </w:r>
          </w:p>
        </w:tc>
        <w:tc>
          <w:tcPr>
            <w:tcW w:w="90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提升</w:t>
            </w:r>
          </w:p>
        </w:tc>
        <w:tc>
          <w:tcPr>
            <w:tcW w:w="79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提升</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lang w:val="en-US" w:eastAsia="zh-CN"/>
              </w:rPr>
              <w:t>15</w:t>
            </w:r>
          </w:p>
        </w:tc>
        <w:tc>
          <w:tcPr>
            <w:tcW w:w="65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13</w:t>
            </w:r>
          </w:p>
        </w:tc>
        <w:tc>
          <w:tcPr>
            <w:tcW w:w="132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785"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满意度</w:t>
            </w:r>
          </w:p>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指标（1</w:t>
            </w:r>
            <w:r>
              <w:rPr>
                <w:rFonts w:ascii="仿宋_GB2312" w:hAnsi="宋体" w:eastAsia="仿宋_GB2312" w:cs="宋体"/>
                <w:kern w:val="0"/>
                <w:szCs w:val="21"/>
                <w:highlight w:val="none"/>
              </w:rPr>
              <w:t>0</w:t>
            </w:r>
            <w:r>
              <w:rPr>
                <w:rFonts w:hint="eastAsia" w:ascii="仿宋_GB2312" w:hAnsi="宋体" w:eastAsia="仿宋_GB2312" w:cs="宋体"/>
                <w:kern w:val="0"/>
                <w:szCs w:val="21"/>
                <w:highlight w:val="none"/>
              </w:rPr>
              <w:t>分）</w:t>
            </w:r>
          </w:p>
        </w:tc>
        <w:tc>
          <w:tcPr>
            <w:tcW w:w="109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服务对象满意度标</w:t>
            </w:r>
          </w:p>
        </w:tc>
        <w:tc>
          <w:tcPr>
            <w:tcW w:w="215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相关人员投诉率</w:t>
            </w:r>
          </w:p>
        </w:tc>
        <w:tc>
          <w:tcPr>
            <w:tcW w:w="90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0</w:t>
            </w:r>
          </w:p>
        </w:tc>
        <w:tc>
          <w:tcPr>
            <w:tcW w:w="79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无投诉</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10</w:t>
            </w:r>
          </w:p>
        </w:tc>
        <w:tc>
          <w:tcPr>
            <w:tcW w:w="65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10</w:t>
            </w:r>
          </w:p>
        </w:tc>
        <w:tc>
          <w:tcPr>
            <w:tcW w:w="132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477" w:hRule="exact"/>
          <w:jc w:val="center"/>
        </w:trPr>
        <w:tc>
          <w:tcPr>
            <w:tcW w:w="649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总分</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100</w:t>
            </w:r>
          </w:p>
        </w:tc>
        <w:tc>
          <w:tcPr>
            <w:tcW w:w="65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color w:val="000000"/>
                <w:kern w:val="0"/>
                <w:szCs w:val="21"/>
                <w:highlight w:val="none"/>
                <w:lang w:val="en-US" w:eastAsia="zh-CN"/>
              </w:rPr>
            </w:pPr>
            <w:r>
              <w:rPr>
                <w:rFonts w:hint="eastAsia" w:ascii="仿宋_GB2312" w:hAnsi="宋体" w:eastAsia="仿宋_GB2312" w:cs="宋体"/>
                <w:color w:val="000000"/>
                <w:kern w:val="0"/>
                <w:szCs w:val="21"/>
                <w:highlight w:val="none"/>
                <w:lang w:val="en-US" w:eastAsia="zh-CN"/>
              </w:rPr>
              <w:t>94</w:t>
            </w:r>
            <w:bookmarkStart w:id="0" w:name="_GoBack"/>
            <w:bookmarkEnd w:id="0"/>
          </w:p>
        </w:tc>
        <w:tc>
          <w:tcPr>
            <w:tcW w:w="132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r>
    </w:tbl>
    <w:p>
      <w:pPr>
        <w:rPr>
          <w:rFonts w:ascii="仿宋_GB2312" w:eastAsia="仿宋_GB2312"/>
          <w:vanish/>
          <w:sz w:val="32"/>
          <w:szCs w:val="32"/>
          <w:highlight w:val="none"/>
        </w:rPr>
      </w:pPr>
    </w:p>
    <w:p>
      <w:pPr>
        <w:spacing w:line="520" w:lineRule="exact"/>
        <w:rPr>
          <w:highlight w:val="none"/>
        </w:rPr>
      </w:pPr>
    </w:p>
    <w:sectPr>
      <w:footerReference r:id="rId3" w:type="default"/>
      <w:pgSz w:w="11906" w:h="16838"/>
      <w:pgMar w:top="1871" w:right="1474" w:bottom="1418" w:left="1531"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JkNTA1ODJlNDZlZmFmY2RjYWExMjlhZTI4YjYwZWUifQ=="/>
  </w:docVars>
  <w:rsids>
    <w:rsidRoot w:val="F77F09F4"/>
    <w:rsid w:val="000F11BD"/>
    <w:rsid w:val="00377EB9"/>
    <w:rsid w:val="004D5957"/>
    <w:rsid w:val="00A23C98"/>
    <w:rsid w:val="00B45132"/>
    <w:rsid w:val="00DD53FE"/>
    <w:rsid w:val="00E26DAB"/>
    <w:rsid w:val="00E776A2"/>
    <w:rsid w:val="064A5EDE"/>
    <w:rsid w:val="11C3311B"/>
    <w:rsid w:val="143771ED"/>
    <w:rsid w:val="22547340"/>
    <w:rsid w:val="2453606A"/>
    <w:rsid w:val="2DA37249"/>
    <w:rsid w:val="37173543"/>
    <w:rsid w:val="3FF76880"/>
    <w:rsid w:val="4E21688E"/>
    <w:rsid w:val="4E736404"/>
    <w:rsid w:val="56F02C50"/>
    <w:rsid w:val="59C34053"/>
    <w:rsid w:val="61755766"/>
    <w:rsid w:val="655E6784"/>
    <w:rsid w:val="70972B53"/>
    <w:rsid w:val="719104B5"/>
    <w:rsid w:val="753F51AA"/>
    <w:rsid w:val="775C53AC"/>
    <w:rsid w:val="7AB7FF50"/>
    <w:rsid w:val="7BFEB0DB"/>
    <w:rsid w:val="7CDF127A"/>
    <w:rsid w:val="CEFD3F3D"/>
    <w:rsid w:val="EA3F77F2"/>
    <w:rsid w:val="EEFE5989"/>
    <w:rsid w:val="EFCF3EAE"/>
    <w:rsid w:val="F5B764A2"/>
    <w:rsid w:val="F77F09F4"/>
    <w:rsid w:val="FFD7B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autoRedefine/>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autoRedefine/>
    <w:qFormat/>
    <w:uiPriority w:val="99"/>
    <w:pPr>
      <w:tabs>
        <w:tab w:val="center" w:pos="4153"/>
        <w:tab w:val="right" w:pos="8306"/>
      </w:tabs>
      <w:snapToGrid w:val="0"/>
      <w:jc w:val="left"/>
    </w:pPr>
    <w:rPr>
      <w:sz w:val="18"/>
      <w:szCs w:val="20"/>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列出段落1"/>
    <w:basedOn w:val="1"/>
    <w:autoRedefine/>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Ty</Company>
  <Pages>2</Pages>
  <Words>158</Words>
  <Characters>905</Characters>
  <Lines>7</Lines>
  <Paragraphs>2</Paragraphs>
  <TotalTime>7</TotalTime>
  <ScaleCrop>false</ScaleCrop>
  <LinksUpToDate>false</LinksUpToDate>
  <CharactersWithSpaces>1061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2022-03-09T19:16:00Z</dcterms:created>
  <dc:creator>user</dc:creator>
  <cp:lastModifiedBy>abc</cp:lastModifiedBy>
  <dcterms:modified xsi:type="dcterms:W3CDTF">2024-05-17T06:05:46Z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35D1718C5AB24EE799C16EEC71CDC3A4_13</vt:lpwstr>
  </property>
</Properties>
</file>